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40" w:lineRule="auto"/>
        <w:ind w:firstLine="0"/>
        <w:jc w:val="center"/>
      </w:pPr>
      <w:r>
        <w:rPr>
          <w:b w:val="0"/>
        </w:rPr>
        <w:t>МИНИСТЕРСТВО НАУКИ И ВЫСШЕГО ОБРАЗОВАНИЯ РОССИЙСКОЙ ФЕДЕРАЦИИ</w:t>
      </w:r>
    </w:p>
    <w:p>
      <w:pPr>
        <w:spacing w:after="120" w:before="0" w:line="240" w:lineRule="auto"/>
        <w:ind w:firstLine="0"/>
        <w:jc w:val="center"/>
      </w:pPr>
      <w:r>
        <w:rPr>
          <w:b w:val="0"/>
        </w:rPr>
        <w:t>[Полное название вуза]</w:t>
      </w:r>
    </w:p>
    <w:p>
      <w:pPr>
        <w:spacing w:after="0" w:before="0" w:line="240" w:lineRule="auto"/>
        <w:ind w:firstLine="0"/>
        <w:jc w:val="center"/>
      </w:pPr>
      <w:r>
        <w:rPr>
          <w:b w:val="0"/>
        </w:rPr>
        <w:t>Экономический факультет</w:t>
      </w: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120" w:before="0"/>
        <w:ind w:firstLine="0"/>
        <w:jc w:val="center"/>
      </w:pPr>
      <w:r>
        <w:rPr>
          <w:b/>
          <w:sz w:val="32"/>
        </w:rPr>
        <w:t>РЕФЕРАТ</w:t>
      </w:r>
    </w:p>
    <w:p>
      <w:pPr>
        <w:spacing w:after="0" w:before="0"/>
        <w:ind w:firstLine="0"/>
        <w:jc w:val="center"/>
      </w:pPr>
      <w:r>
        <w:rPr>
          <w:b w:val="0"/>
        </w:rPr>
        <w:t>по дисциплине «Экономика»</w:t>
      </w:r>
    </w:p>
    <w:p>
      <w:pPr>
        <w:spacing w:after="0" w:before="0"/>
        <w:ind w:firstLine="0"/>
        <w:jc w:val="center"/>
      </w:pPr>
      <w:r>
        <w:rPr>
          <w:b w:val="0"/>
        </w:rPr>
        <w:t>на тему: «Инфляция в России: причины, виды и методы регулирования»</w:t>
      </w: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 w:left="4819"/>
      </w:pPr>
      <w:r>
        <w:rPr>
          <w:b w:val="0"/>
        </w:rPr>
        <w:t>Выполнил(а): студент гр. ____</w:t>
      </w:r>
    </w:p>
    <w:p>
      <w:pPr>
        <w:spacing w:after="0" w:before="0"/>
        <w:ind w:firstLine="0" w:left="4819"/>
      </w:pPr>
      <w:r>
        <w:rPr>
          <w:b w:val="0"/>
        </w:rPr>
        <w:t>__________________ / И. О. Фамилия</w:t>
      </w:r>
    </w:p>
    <w:p>
      <w:pPr>
        <w:spacing w:after="0" w:before="0"/>
        <w:ind w:firstLine="0" w:left="4819"/>
      </w:pPr>
    </w:p>
    <w:p>
      <w:pPr>
        <w:spacing w:after="0" w:before="0"/>
        <w:ind w:firstLine="0" w:left="4819"/>
      </w:pPr>
      <w:r>
        <w:rPr>
          <w:b w:val="0"/>
        </w:rPr>
        <w:t>Проверил(а): __________________</w:t>
      </w:r>
    </w:p>
    <w:p>
      <w:pPr>
        <w:spacing w:after="0" w:before="0"/>
        <w:ind w:firstLine="0" w:left="4819"/>
      </w:pPr>
      <w:r>
        <w:rPr>
          <w:b w:val="0"/>
        </w:rPr>
        <w:t>__________________ / И. О. Фамилия</w:t>
      </w: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  <w:jc w:val="center"/>
      </w:pPr>
      <w:r>
        <w:rPr>
          <w:b w:val="0"/>
        </w:rPr>
        <w:t>[Город] 2026</w:t>
      </w:r>
    </w:p>
    <w:p>
      <w:pPr>
        <w:spacing w:after="0" w:before="0"/>
        <w:ind w:firstLine="0"/>
        <w:jc w:val="center"/>
      </w:pPr>
      <w:r>
        <w:rPr>
          <w:b w:val="0"/>
          <w:sz w:val="18"/>
        </w:rPr>
        <w:t>Пример работы, выполненной в Универ AI · univerai.ru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СОДЕРЖАНИЕ</w:t>
      </w:r>
    </w:p>
    <w:p>
      <w:pPr>
        <w:ind w:firstLine="0" w:left="0"/>
        <w:tabs>
          <w:tab w:val="right" w:leader="dot" w:pos="9354"/>
        </w:tabs>
      </w:pPr>
      <w:r>
        <w:t>ВВЕДЕНИЕ</w:t>
        <w:tab/>
        <w:t>3</w:t>
      </w:r>
    </w:p>
    <w:p>
      <w:pPr>
        <w:ind w:firstLine="0" w:left="0"/>
        <w:tabs>
          <w:tab w:val="right" w:leader="dot" w:pos="9354"/>
        </w:tabs>
      </w:pPr>
      <w:r>
        <w:t>1. Инфляция как экономическое явление</w:t>
        <w:tab/>
        <w:t>5</w:t>
      </w:r>
    </w:p>
    <w:p>
      <w:pPr>
        <w:ind w:firstLine="0" w:left="425"/>
        <w:tabs>
          <w:tab w:val="right" w:leader="dot" w:pos="9354"/>
        </w:tabs>
      </w:pPr>
      <w:r>
        <w:t>1.1 Понятие инфляции и способы её измерения</w:t>
        <w:tab/>
        <w:t>5</w:t>
      </w:r>
    </w:p>
    <w:p>
      <w:pPr>
        <w:ind w:firstLine="0" w:left="425"/>
        <w:tabs>
          <w:tab w:val="right" w:leader="dot" w:pos="9354"/>
        </w:tabs>
      </w:pPr>
      <w:r>
        <w:t>1.2 Причины инфляции в российской экономике</w:t>
        <w:tab/>
        <w:t>8</w:t>
      </w:r>
    </w:p>
    <w:p>
      <w:pPr>
        <w:ind w:firstLine="0" w:left="0"/>
        <w:tabs>
          <w:tab w:val="right" w:leader="dot" w:pos="9354"/>
        </w:tabs>
      </w:pPr>
      <w:r>
        <w:t>2. Виды инфляции и методы её регулирования</w:t>
        <w:tab/>
        <w:t>12</w:t>
      </w:r>
    </w:p>
    <w:p>
      <w:pPr>
        <w:ind w:firstLine="0" w:left="425"/>
        <w:tabs>
          <w:tab w:val="right" w:leader="dot" w:pos="9354"/>
        </w:tabs>
      </w:pPr>
      <w:r>
        <w:t>2.1 Классификация видов инфляции</w:t>
        <w:tab/>
        <w:t>12</w:t>
      </w:r>
    </w:p>
    <w:p>
      <w:pPr>
        <w:ind w:firstLine="0" w:left="425"/>
        <w:tabs>
          <w:tab w:val="right" w:leader="dot" w:pos="9354"/>
        </w:tabs>
      </w:pPr>
      <w:r>
        <w:t>2.2 Денежно-кредитная политика Банка России в 2024–2026 годах</w:t>
        <w:tab/>
        <w:t>15</w:t>
      </w:r>
    </w:p>
    <w:p>
      <w:pPr>
        <w:ind w:firstLine="0" w:left="0"/>
        <w:tabs>
          <w:tab w:val="right" w:leader="dot" w:pos="9354"/>
        </w:tabs>
      </w:pPr>
      <w:r>
        <w:t>3. Инфляция в России в 2015–2026 годах: динамика и последствия</w:t>
        <w:tab/>
        <w:t>19</w:t>
      </w:r>
    </w:p>
    <w:p>
      <w:pPr>
        <w:ind w:firstLine="0" w:left="425"/>
        <w:tabs>
          <w:tab w:val="right" w:leader="dot" w:pos="9354"/>
        </w:tabs>
      </w:pPr>
      <w:r>
        <w:t>3.1 Динамика инфляции и решения по ключевой ставке</w:t>
        <w:tab/>
        <w:t>19</w:t>
      </w:r>
    </w:p>
    <w:p>
      <w:pPr>
        <w:ind w:firstLine="0" w:left="425"/>
        <w:tabs>
          <w:tab w:val="right" w:leader="dot" w:pos="9354"/>
        </w:tabs>
      </w:pPr>
      <w:r>
        <w:t>3.2 Влияние инфляции на доходы и сбережения: расчётные примеры</w:t>
        <w:tab/>
        <w:t>22</w:t>
      </w:r>
    </w:p>
    <w:p>
      <w:pPr>
        <w:ind w:firstLine="0" w:left="0"/>
        <w:tabs>
          <w:tab w:val="right" w:leader="dot" w:pos="9354"/>
        </w:tabs>
      </w:pPr>
      <w:r>
        <w:t>ЗАКЛЮЧЕНИЕ</w:t>
        <w:tab/>
        <w:t>24</w:t>
      </w:r>
    </w:p>
    <w:p>
      <w:pPr>
        <w:ind w:firstLine="0" w:left="0"/>
        <w:tabs>
          <w:tab w:val="right" w:leader="dot" w:pos="9354"/>
        </w:tabs>
      </w:pPr>
      <w:r>
        <w:t>СПИСОК ИСПОЛЬЗОВАННЫХ ИСТОЧНИКОВ</w:t>
        <w:tab/>
        <w:t>26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ВВЕДЕНИЕ</w:t>
      </w:r>
    </w:p>
    <w:p>
      <w:pPr>
        <w:spacing w:after="0" w:before="0"/>
        <w:ind w:firstLine="709"/>
        <w:jc w:val="both"/>
      </w:pPr>
      <w:r>
        <w:rPr>
          <w:b w:val="0"/>
        </w:rPr>
        <w:t>Рост цен замечает каждый, даже тот, кто никогда не открывал учебник экономики. Достаточно сравнить чек из супермаркета за два соседних года. По данным Банка России, в 2024 году потребительские цены выросли на 9,5%, в 2025 году — на 5,6% [4], а в сентябре 2026 года годовая инфляция всё ещё держалась выше 6% [3]. Для семьи со скромным доходом такие цифры означают вполне конкретные вещи: отложенную покупку, перерасчёт бюджета, тревогу за сбережения.</w:t>
      </w:r>
    </w:p>
    <w:p>
      <w:pPr>
        <w:spacing w:after="0" w:before="0"/>
        <w:ind w:firstLine="709"/>
        <w:jc w:val="both"/>
      </w:pPr>
      <w:r>
        <w:rPr>
          <w:b w:val="0"/>
        </w:rPr>
        <w:t>Для государства инфляция — проблема иного масштаба. От неё зависят процентные ставки, курс рубля, доступность ипотеки, реальный размер пенсий и зарплат бюджетников. Ошибка в оценке её причин ведёт к ошибке в выборе лекарства: если считать главным виновником печатный станок, а на деле цены толкают вверх издержки монополий, жёсткая денежная политика ударит по экономике, почти не затронув рост цен. Вокруг этого вопроса до сих пор спорят российские экономисты [6; 9].</w:t>
      </w:r>
    </w:p>
    <w:p>
      <w:pPr>
        <w:spacing w:after="0" w:before="0"/>
        <w:ind w:firstLine="709"/>
        <w:jc w:val="both"/>
      </w:pPr>
      <w:r>
        <w:rPr>
          <w:b w:val="0"/>
        </w:rPr>
        <w:t>Цель реферата — разобраться, какие причины вызывают инфляцию в России, какие её виды выделяет экономическая наука, какими методами государство с ней борется и как рост цен сказывается на доходах граждан. Для этого нужно решить четыре задачи: раскрыть понятие инфляции и способы её измерения; проанализировать основные причины роста цен в российской экономике; описать классификацию видов инфляции и рассмотреть, как Банк России регулировал её в 2024–2026 годах; проследить динамику инфляции и ключевой ставки в 2015–2026 годах и на расчётных примерах показать, как инфляция меняет реальную стоимость зарплаты, сбережений и долга.</w:t>
      </w:r>
    </w:p>
    <w:p>
      <w:pPr>
        <w:spacing w:after="0" w:before="0"/>
        <w:ind w:firstLine="709"/>
        <w:jc w:val="both"/>
      </w:pPr>
      <w:r>
        <w:rPr>
          <w:b w:val="0"/>
        </w:rPr>
        <w:t>Тема интересна ещё и тем, что последние годы дали редкий для экономиста «естественный эксперимент»: рекордно высокая ключевая ставка, быстрое замедление инфляции и затем её частичный возврат после налоговых изменений. На этом материале хорошо видно, как теория работает на практике. Объект исследования — инфляционные процессы в экономике России. Предмет — причины инфляции и инструменты её регулирования. В работе использованы учебники по макроэкономике и денежному обращению, статьи журнала «Вопросы экономики», а также официальные материалы Банка России, включая Основные направления денежно-кредитной политики на 2026–2028 годы и статистические базы данных по инфляции и ключевой ставке.</w:t>
      </w:r>
      <w:r>
        <w:br w:type="page"/>
      </w:r>
    </w:p>
    <w:p>
      <w:pPr>
        <w:spacing w:after="240" w:before="0"/>
        <w:ind w:firstLine="709"/>
        <w:jc w:val="both"/>
      </w:pPr>
      <w:r>
        <w:rPr>
          <w:b/>
        </w:rPr>
        <w:t>1. Инфляция как экономическое явление</w:t>
      </w:r>
    </w:p>
    <w:p>
      <w:pPr>
        <w:spacing w:after="0" w:before="0"/>
        <w:ind w:firstLine="709"/>
        <w:jc w:val="both"/>
      </w:pPr>
      <w:r>
        <w:rPr>
          <w:b w:val="0"/>
        </w:rPr>
        <w:t>Прежде чем обсуждать российские цифры, нужно договориться о терминах. В этой главе рассмотрено, что экономисты понимают под инфляцией, как её считают и какие силы её порождают.</w:t>
      </w:r>
    </w:p>
    <w:p>
      <w:pPr>
        <w:spacing w:after="120" w:before="240"/>
        <w:ind w:firstLine="709"/>
        <w:jc w:val="both"/>
      </w:pPr>
      <w:r>
        <w:rPr>
          <w:b/>
        </w:rPr>
        <w:t>1.1 Понятие инфляции и способы её измерения</w:t>
      </w:r>
    </w:p>
    <w:p>
      <w:pPr>
        <w:spacing w:after="0" w:before="0"/>
        <w:ind w:firstLine="709"/>
        <w:jc w:val="both"/>
      </w:pPr>
      <w:r>
        <w:rPr>
          <w:b w:val="0"/>
        </w:rPr>
        <w:t>В учебниках инфляцию определяют как устойчивое повышение общего уровня цен в экономике, которое сопровождается снижением покупательной способности денег [8]. В этом определении важны два слова. «Общего» — потому что подорожание отдельного товара, скажем огурцов зимой, ещё не инфляция. «Устойчивое» — потому что разовый скачок цен после неурожая или повышения налога сам по себе не создаёт длительного процесса, хотя и может его запустить.</w:t>
      </w:r>
    </w:p>
    <w:p>
      <w:pPr>
        <w:spacing w:after="0" w:before="0"/>
        <w:ind w:firstLine="709"/>
        <w:jc w:val="both"/>
      </w:pPr>
      <w:r>
        <w:rPr>
          <w:b w:val="0"/>
        </w:rPr>
        <w:t>Термин появился в США в годы Гражданской войны, когда выпуск бумажных «гринбеков» привёл к быстрому обесцениванию доллара. С латыни inflatio переводится как «вздутие». Метафора удачная: денежная масса раздувается быстрее, чем растёт количество товаров, и каждый рубль начинает «весить» меньше. Классическая количественная теория выражает эту связь уравнением обмена И. Фишера MV = PQ, где произведение денежной массы на скорость её обращения равно произведению уровня цен на реальный объём производства [5].</w:t>
      </w:r>
    </w:p>
    <w:p>
      <w:pPr>
        <w:spacing w:after="0" w:before="0"/>
        <w:ind w:firstLine="709"/>
        <w:jc w:val="both"/>
      </w:pPr>
      <w:r>
        <w:rPr>
          <w:b w:val="0"/>
        </w:rPr>
        <w:t>Измеряют инфляцию с помощью индексов цен. Главный из них в России — индекс потребительских цен (ИПЦ), который рассчитывает Росстат. Статистики регулярно регистрируют цены на набор продуктов, непродовольственных товаров и услуг в сотнях городов страны, а затем сводят их, учитывая долю каждой позиции в расходах домохозяйств. Именно ИПЦ служит официальной мерой инфляции для Банка России: цель денежно-кредитной политики сформулирована как годовой прирост этого индекса вблизи 4% [2].</w:t>
      </w:r>
    </w:p>
    <w:p>
      <w:pPr>
        <w:spacing w:after="0" w:before="0"/>
        <w:ind w:firstLine="709"/>
        <w:jc w:val="both"/>
      </w:pPr>
      <w:r>
        <w:rPr>
          <w:b w:val="0"/>
        </w:rPr>
        <w:t>Кроме ИПЦ, существуют дефлятор ВВП, индекс цен производителей и так называемая базовая инфляция. Последняя исключает из расчёта товары с наиболее изменчивыми ценами — плодоовощную продукцию, бензин, тарифы на ряд услуг. Смысл в том, чтобы отделить устойчивую тенденцию от сезонного шума. В начале сентября 2026 года, например, Банк России оценивал устойчивые компоненты инфляции в 5–6% в пересчёте на год, тогда как общий годовой показатель составлял 6,3% [3].</w:t>
      </w:r>
    </w:p>
    <w:p>
      <w:pPr>
        <w:spacing w:after="0" w:before="0"/>
        <w:ind w:firstLine="709"/>
        <w:jc w:val="both"/>
      </w:pPr>
      <w:r>
        <w:rPr>
          <w:b w:val="0"/>
        </w:rPr>
        <w:t>Даже простое сравнение структуры показывает, насколько неоднородно может идти рост цен. В 2025 году непродовольственные товары подорожали в среднем лишь на 3%, а некоторые из них, например автомобили, компьютеры и электротовары, даже подешевели. Продовольствие прибавило 5,2%, а услуги — 9,3% [4]. Разрыв между группами хорошо виден на рисунке 1. Получается, что одна и та же годовая цифра 5,6% по-разному отражается на бюджетах разных семей. Пенсионер, который тратит основную часть дохода на еду и коммунальные платежи, ощущает инфляцию острее, чем молодой специалист, покупающий технику.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3102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lyaciya-fig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310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1 – Прирост потребительских цен по группам товаров и услуг в 2025 году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[4].</w:t>
      </w:r>
    </w:p>
    <w:p>
      <w:pPr>
        <w:spacing w:after="0" w:before="0"/>
        <w:ind w:firstLine="709"/>
        <w:jc w:val="both"/>
      </w:pPr>
      <w:r>
        <w:rPr>
          <w:b w:val="0"/>
        </w:rPr>
        <w:t>Как структура расходов меняет личную инфляцию, покажет условный пример. Допустим, семья тратит в месяц 30 000 рублей: 12 000 на продукты, 8 000 на непродовольственные товары и 10 000 на услуги. Если цены изменились так же, как в 2025 году, тот же набор через год обойдётся в 12 624 + 8 240 + 10 930 = 31 794 рубля. Расходы выросли почти на 6%, хотя официальная инфляция составила 5,6% [4]. Чем больше в бюджете услуг, тем выше личный рост цен; у семьи, которая чаще покупает технику и одежду, он окажется ниже среднего.</w:t>
      </w:r>
    </w:p>
    <w:p>
      <w:pPr>
        <w:spacing w:after="0" w:before="0"/>
        <w:ind w:firstLine="709"/>
        <w:jc w:val="both"/>
      </w:pPr>
      <w:r>
        <w:rPr>
          <w:b w:val="0"/>
        </w:rPr>
        <w:t>Отсюда возникает феномен воспринимаемой инфляции. Люди оценивают рост цен по тем покупкам, которые совершают часто: хлеб, молоко, проезд. Заметное подорожание нескольких таких товаров формирует ощущение, что «всё дорожает», даже если официальный индекс невелик. Банк России поэтому регулярно измеряет инфляционные ожидания населения и бизнеса и учитывает их при принятии решений, ведь ожидания сами влияют на поведение: человек, уверенный в будущем росте цен, спешит потратить деньги, а предприятие закладывает повышение в свои прайс-листы [2].</w:t>
      </w:r>
    </w:p>
    <w:p>
      <w:pPr>
        <w:spacing w:after="0" w:before="0"/>
        <w:ind w:firstLine="709"/>
        <w:jc w:val="both"/>
      </w:pPr>
      <w:r>
        <w:rPr>
          <w:b w:val="0"/>
        </w:rPr>
        <w:t>Наконец, инфляцию следует отличать от дефляции, то есть общего снижения цен, и от дезинфляции — замедления их роста. Россия в 2025 году переживала именно дезинфляцию: цены продолжали расти, но медленнее, чем годом ранее. Для экономиста это различие принципиально, для покупателя — почти незаметно, поскольку товары дешевле всё равно не становятся.</w:t>
      </w:r>
    </w:p>
    <w:p>
      <w:pPr>
        <w:spacing w:after="0" w:before="0"/>
        <w:ind w:firstLine="709"/>
        <w:jc w:val="both"/>
      </w:pPr>
      <w:r>
        <w:rPr>
          <w:b w:val="0"/>
        </w:rPr>
        <w:t>Почему вообще инфляция считается злом, если зарплаты со временем тоже растут? Прежде всего потому, что рост доходов догоняет цены с опозданием и далеко не у всех. Высокая инфляция незаметно перераспределяет богатство: выигрывают должники и владельцы недвижимости, проигрывают кредиторы, вкладчики и получатели фиксированных выплат. Есть и менее очевидные потери. Компании несут так называемые издержки меню, постоянно пересматривая ценники и договоры, а граждане тратят время и силы на защиту сбережений вместо производительной работы [8]. Чем выше и непредсказуемее инфляция, тем сильнее все эти эффекты.</w:t>
      </w:r>
    </w:p>
    <w:p>
      <w:pPr>
        <w:spacing w:after="0" w:before="0"/>
        <w:ind w:firstLine="709"/>
        <w:jc w:val="both"/>
      </w:pPr>
      <w:r>
        <w:rPr>
          <w:b w:val="0"/>
        </w:rPr>
        <w:t>Обесценивание денег удобно считать через обратную величину индекса. Если цены за год выросли на 9,5%, как в 2024 году [4], то 100 рублей в конце года покупают столько же, сколько 100 / 1,095 ≈ 91,3 рубля в его начале. Потеря кажется небольшой, но она накапливается: при постоянной инфляции 9,5% цены удваиваются примерно за 7,6 года, а при 4% — примерно за 17,7 года. Для быстрой прикидки пользуются «правилом 70»: число 70 делят на годовой темп инфляции в процентах. При 4% получается 17,5 года, при 9,5% — около 7,4 года, то есть результат близок к точному.</w:t>
      </w:r>
    </w:p>
    <w:p>
      <w:pPr>
        <w:spacing w:after="120" w:before="240"/>
        <w:ind w:firstLine="709"/>
        <w:jc w:val="both"/>
      </w:pPr>
      <w:r>
        <w:rPr>
          <w:b/>
        </w:rPr>
        <w:t>1.2 Причины инфляции в российской экономике</w:t>
      </w:r>
    </w:p>
    <w:p>
      <w:pPr>
        <w:spacing w:after="0" w:before="0"/>
        <w:ind w:firstLine="709"/>
        <w:jc w:val="both"/>
      </w:pPr>
      <w:r>
        <w:rPr>
          <w:b w:val="0"/>
        </w:rPr>
        <w:t>Экономическая теория обычно делит причины инфляции на две большие группы. Инфляция спроса возникает, когда совокупный спрос опережает возможности производства: денег у населения, компаний и государства становится больше, а товаров столько же. Инфляция издержек, напротив, рождается на стороне предложения — дорожают сырьё, энергия, рабочая сила, импорт, и производители перекладывают растущие затраты на покупателей [8]. В реальной экономике обе группы переплетаются.</w:t>
      </w:r>
    </w:p>
    <w:p>
      <w:pPr>
        <w:spacing w:after="0" w:before="0"/>
        <w:ind w:firstLine="709"/>
        <w:jc w:val="both"/>
      </w:pPr>
      <w:r>
        <w:rPr>
          <w:b w:val="0"/>
        </w:rPr>
        <w:t>Монетаристская традиция, восходящая к М. Фридману, видит в основе любой длительной инфляции рост денежной массы. С ней согласуется исследование С. М. Дробышевского, Ю. Н. Перевышина, С. Г. Синельникова-Мурылева и П. В. Трунина, опубликованное в 2025 году. Авторы связывают ускорение инфляции в России в 2020–2024 годах именно с ускоренным ростом денежного предложения [9]. Главным источником увеличения денежной базы они называют операции со средствами Фонда национального благосостояния, которые центральный банк не стерилизовал.</w:t>
      </w:r>
    </w:p>
    <w:p>
      <w:pPr>
        <w:spacing w:after="0" w:before="0"/>
        <w:ind w:firstLine="709"/>
        <w:jc w:val="both"/>
      </w:pPr>
      <w:r>
        <w:rPr>
          <w:b w:val="0"/>
        </w:rPr>
        <w:t>Механизм выглядит так (рисунок 2). Бюджет тратит накопленные ранее резервы, деньги поступают на счета предприятий и граждан, а банки, получив дополнительную ликвидность, расширяют кредитование. По оценке тех же авторов, рост кредита подстегнули льготные программы, прежде всего ипотечные, и снижение нормативов обязательного резервирования, которое увеличило денежный мультипликатор [9]. Дополнительное давление создали фаза делового цикла и нехватка рабочей силы: работодатели, конкурируя за людей, повышали зарплаты быстрее роста производительности.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87421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lyaciya-fig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742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2 – Монетарный механизм ускорения инфляции в России в 2020–2024 годах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составлено автором по [9].</w:t>
      </w:r>
    </w:p>
    <w:p>
      <w:pPr>
        <w:spacing w:after="0" w:before="0"/>
        <w:ind w:firstLine="709"/>
        <w:jc w:val="both"/>
      </w:pPr>
      <w:r>
        <w:rPr>
          <w:b w:val="0"/>
        </w:rPr>
        <w:t>Другая точка зрения представлена в статье О. Дмитриевой и Д. Ушакова, вышедшей ещё в 2011 году. Сопоставив данные по ряду стран, авторы не нашли в большинстве из них, включая Россию, устойчивой связи инфляции с ростом государственных расходов и денежной массы [6]. Российскую инфляцию они характеризуют как инфляцию издержек и связывают с переносом в конечные цены монопольной ренты сырьевого сектора, а также с монопольно высокими ценами естественных монополий федерального и регионального уровня.</w:t>
      </w:r>
    </w:p>
    <w:p>
      <w:pPr>
        <w:spacing w:after="0" w:before="0"/>
        <w:ind w:firstLine="709"/>
        <w:jc w:val="both"/>
      </w:pPr>
      <w:r>
        <w:rPr>
          <w:b w:val="0"/>
        </w:rPr>
        <w:t>Кто же прав? Похоже, ответ зависит от периода. В 2000-е годы, когда рост тарифов на газ, электричество и железнодорожные перевозки нередко опережал общий рост цен, аргументы сторонников инфляции издержек выглядели весомо. В 2020-е годы на первый план вышли бюджетные расходы, кредитный бум и перегретый рынок труда. Сами Дробышевский и его соавторы среди рекомендуемых мер называют замедление индексации регулируемых цен и акцизов [9], то есть признают роль немонетарного фактора.</w:t>
      </w:r>
    </w:p>
    <w:p>
      <w:pPr>
        <w:spacing w:after="0" w:before="0"/>
        <w:ind w:firstLine="709"/>
        <w:jc w:val="both"/>
      </w:pPr>
      <w:r>
        <w:rPr>
          <w:b w:val="0"/>
        </w:rPr>
        <w:t>Особое место среди причин занимает валютный курс. Россия импортирует значительную часть потребительских товаров, оборудования и комплектующих, поэтому ослабление рубля быстро отражается на ценниках. Экономисты называют это эффектом переноса курса. А. В. Зубарев и А. М. Городнов, оценив кривую Филлипса для открытой экономики на российских данных, показали, что после 2013 года, когда сменилось руководство Банка России и начался переход к инфляционному таргетированию, влияние ожиданий по курсу рубля на инфляцию заметно ослабло [7]. Пандемия, однако, вновь усилила эту связь, вероятно, из-за выросшей неопределённости цен на импорт.</w:t>
      </w:r>
    </w:p>
    <w:p>
      <w:pPr>
        <w:spacing w:after="0" w:before="0"/>
        <w:ind w:firstLine="709"/>
        <w:jc w:val="both"/>
      </w:pPr>
      <w:r>
        <w:rPr>
          <w:b w:val="0"/>
        </w:rPr>
        <w:t>Отдельно стоит назвать налоговые решения. С 1 января 2026 года основная ставка НДС выросла с 20 до 22%, и Банк России заранее предупреждал, что это даст разовый всплеск цен [2]. Повышение налога само по себе не создаёт длительной инфляции, однако может подтолкнуть инфляционные ожидания, а через них — и цены на последующие месяцы. Здесь видно, как тесно в российских условиях связаны бюджетная и денежная сферы.</w:t>
      </w:r>
    </w:p>
    <w:p>
      <w:pPr>
        <w:spacing w:after="0" w:before="0"/>
        <w:ind w:firstLine="709"/>
        <w:jc w:val="both"/>
      </w:pPr>
      <w:r>
        <w:rPr>
          <w:b w:val="0"/>
        </w:rPr>
        <w:t>Прямой эффект налога несложно оценить. Товар, который стоил 1 200 рублей с учётом НДС 20%, имеет цену без налога 1 000 рублей. При ставке 22% та же цена без налога даёт 1 220 рублей, то есть подорожание на 1,7%, если продавец переложит налог на покупателя целиком. Товары, облагаемые по пониженной ставке, этот шок не затрагивает, поэтому вклад в общий индекс получается меньше. Опасность не в самих полутора процентах, а в том, что люди, увидев новые ценники, начинают ждать дальнейшего роста.</w:t>
      </w:r>
    </w:p>
    <w:p>
      <w:pPr>
        <w:spacing w:after="0" w:before="0"/>
        <w:ind w:firstLine="709"/>
        <w:jc w:val="both"/>
      </w:pPr>
      <w:r>
        <w:rPr>
          <w:b w:val="0"/>
        </w:rPr>
        <w:t>Наконец, нельзя сбрасывать со счетов ожидания. Если население и бизнес привыкли к высокой инфляции и не верят в её снижение, они ведут себя так, что прогноз сбывается: требуют индексации зарплат, повышают цены заранее, избавляются от рублёвых накоплений. Поэтому Банк России подчёркивает, что якорение ожиданий — одна из центральных задач его политики [2].</w:t>
      </w:r>
    </w:p>
    <w:p>
      <w:pPr>
        <w:spacing w:after="0" w:before="0"/>
        <w:ind w:firstLine="709"/>
        <w:jc w:val="both"/>
      </w:pPr>
      <w:r>
        <w:rPr>
          <w:b w:val="0"/>
        </w:rPr>
        <w:t>Если свести сказанное воедино, причины российской инфляции последних лет образуют цепочку. Бюджетные вливания и льготный кредит расширяли спрос, дефицит работников поднимал зарплаты, санкционные ограничения и логистические сложности удорожали импорт, а повышенные ожидания закрепляли этот рост. Ни одна из причин не действовала в одиночку, и именно поэтому борьба с инфляцией оказалась затяжной.</w:t>
      </w:r>
      <w:r>
        <w:br w:type="page"/>
      </w:r>
    </w:p>
    <w:p>
      <w:pPr>
        <w:spacing w:after="240" w:before="0"/>
        <w:ind w:firstLine="709"/>
        <w:jc w:val="both"/>
      </w:pPr>
      <w:r>
        <w:rPr>
          <w:b/>
        </w:rPr>
        <w:t>2. Виды инфляции и методы её регулирования</w:t>
      </w:r>
    </w:p>
    <w:p>
      <w:pPr>
        <w:spacing w:after="0" w:before="0"/>
        <w:ind w:firstLine="709"/>
        <w:jc w:val="both"/>
      </w:pPr>
      <w:r>
        <w:rPr>
          <w:b w:val="0"/>
        </w:rPr>
        <w:t>Чтобы выбрать способ борьбы с инфляцией, нужно понимать, с каким её видом имеешь дело. Ползучий рост цен на несколько процентов в год и гиперинфляция требуют совершенно разных решений.</w:t>
      </w:r>
    </w:p>
    <w:p>
      <w:pPr>
        <w:spacing w:after="120" w:before="240"/>
        <w:ind w:firstLine="709"/>
        <w:jc w:val="both"/>
      </w:pPr>
      <w:r>
        <w:rPr>
          <w:b/>
        </w:rPr>
        <w:t>2.1 Классификация видов инфляции</w:t>
      </w:r>
    </w:p>
    <w:p>
      <w:pPr>
        <w:spacing w:after="0" w:before="0"/>
        <w:ind w:firstLine="709"/>
        <w:jc w:val="both"/>
      </w:pPr>
      <w:r>
        <w:rPr>
          <w:b w:val="0"/>
        </w:rPr>
        <w:t>Самая распространённая классификация опирается на темп роста цен. Умеренную, или ползучую, инфляцию обычно связывают с ростом цен до 10% в год. Она не разрушает денежного обращения, люди продолжают хранить сбережения в национальной валюте и заключать долгосрочные договоры. Многие экономисты считают небольшую положительную инфляцию даже полезной: она облегчает подстройку относительных цен и зарплат и оставляет центральному банку пространство для снижения ставок [8].</w:t>
      </w:r>
    </w:p>
    <w:p>
      <w:pPr>
        <w:spacing w:after="0" w:before="0"/>
        <w:ind w:firstLine="709"/>
        <w:jc w:val="both"/>
      </w:pPr>
      <w:r>
        <w:rPr>
          <w:b w:val="0"/>
        </w:rPr>
        <w:t>Галопирующая инфляция измеряется двузначными, а иногда и трёхзначными цифрами. Деньги начинают быстро терять ценность, сбережения переводятся в иностранную валюту и недвижимость, долгосрочное кредитование почти исчезает. Гиперинфляцией, по критерию американского экономиста Ф. Кейгана, называют рост цен более чем на 50% в месяц. Классические примеры — Германия 1923 года и Венгрия 1946 года. Россия пережила близкое к этому состояние в 1992 году, после освобождения цен, когда за год они выросли более чем в двадцать пять раз. Последствия того года — исчезновение сбережений, накопленных на сберкнижках за десятилетия, — до сих пор влияют на недоверие многих россиян к рублю и банковским вкладам. В публицистике такую долгую память называют инфляционной травмой, и её учёт помогает понять, почему ожидания населения в России снижаются медленнее, чем фактическая инфляция.</w:t>
      </w:r>
    </w:p>
    <w:p>
      <w:pPr>
        <w:spacing w:after="0" w:before="0"/>
        <w:ind w:firstLine="709"/>
        <w:jc w:val="both"/>
      </w:pPr>
      <w:r>
        <w:rPr>
          <w:b w:val="0"/>
        </w:rPr>
        <w:t>Второй критерий — характер проявления. Открытая инфляция выражается в росте цен. Подавленная возникает, когда цены жёстко контролируются государством: деньги у населения есть, а купить на них нечего, и вместо ценников растут очереди и дефицит. Именно такой была ситуация в позднем СССР. Формально официальные цены оставались почти неизменными, но фактическое обесценивание рубля проявлялось в пустых полках и чёрном рынке [5].</w:t>
      </w:r>
    </w:p>
    <w:p>
      <w:pPr>
        <w:spacing w:after="0" w:before="0"/>
        <w:ind w:firstLine="709"/>
        <w:jc w:val="both"/>
      </w:pPr>
      <w:r>
        <w:rPr>
          <w:b w:val="0"/>
        </w:rPr>
        <w:t>По степени предсказуемости различают ожидаемую и неожиданную инфляцию. Ожидаемую экономические агенты закладывают в свои решения: банки — в процентные ставки, работодатели — в индексацию зарплат, продавцы — в цены. Неожиданная бьёт по тем, кто получает фиксированный доход или хранит сбережения на счетах с низкой ставкой, и выгодна заёмщикам, чьи долги обесцениваются. Именно поэтому центральные банки стремятся к прозрачности: предсказуемая инфляция наносит экономике значительно меньший ущерб.</w:t>
      </w:r>
    </w:p>
    <w:p>
      <w:pPr>
        <w:spacing w:after="0" w:before="0"/>
        <w:ind w:firstLine="709"/>
        <w:jc w:val="both"/>
      </w:pPr>
      <w:r>
        <w:rPr>
          <w:b w:val="0"/>
        </w:rPr>
        <w:t>Различают также сбалансированную и несбалансированную инфляцию. В первом случае цены разных товаров растут примерно одинаково, во втором — с большим разбросом. Российский опыт 2025 года иллюстрирует второй тип: услуги дорожали втрое быстрее непродовольственных товаров [4]. Несбалансированность искажает ценовые сигналы, на которые ориентируются производители, и усложняет планирование.</w:t>
      </w:r>
    </w:p>
    <w:p>
      <w:pPr>
        <w:spacing w:after="0" w:before="0"/>
        <w:ind w:firstLine="709"/>
        <w:jc w:val="both"/>
      </w:pPr>
      <w:r>
        <w:rPr>
          <w:b w:val="0"/>
        </w:rPr>
        <w:t>По причинам возникновения, о которых шла речь в первой главе, выделяют инфляцию спроса и инфляцию издержек. К ним иногда добавляют импортируемую инфляцию, связанную с ростом мировых цен и ослаблением национальной валюты, и структурную, вызванную диспропорциями в самой экономике, например высокой монополизацией отдельных рынков [6]. Для России актуальны все эти разновидности, и их доля в общем росте цен меняется от года к году. Основные критерии классификации и примеры сведены в таблицу 1.</w:t>
      </w:r>
    </w:p>
    <w:p>
      <w:pPr>
        <w:keepNext/>
        <w:spacing w:after="0" w:before="120"/>
        <w:ind w:firstLine="0"/>
        <w:jc w:val="left"/>
      </w:pPr>
      <w:r>
        <w:rPr>
          <w:b w:val="0"/>
        </w:rPr>
        <w:t>Таблица 1 – Классификация видов инфляции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118"/>
        <w:gridCol w:w="3118"/>
        <w:gridCol w:w="3118"/>
      </w:tblGrid>
      <w:tr>
        <w:trPr>
          <w:tblHeader w:val="true"/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Критерий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Виды инфляции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Пример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Темп роста цен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Умеренная, галопирующая, гиперинфляция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Россия 2025 г.; Россия 1992 г.; Германия 1923 г.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Форма проявления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Открытая, подавленная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Рост цен; дефицит в позднем СССР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Предсказуемость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Ожидаемая, неожиданная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Индексация зарплат; ценовой шок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Соотношение цен разных товаров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Сбалансированная, несбалансированная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Услуги +9,3%, товары +3% в 2025 г.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Причина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Спроса, издержек, импортируемая, структурная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Кредитный бум; рост тарифов; ослабление рубля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Связь с производством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Стагфляция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США 1970-х гг.</w:t>
            </w:r>
          </w:p>
        </w:tc>
      </w:tr>
    </w:tbl>
    <w:p>
      <w:pPr>
        <w:spacing w:after="0" w:before="80" w:line="240" w:lineRule="auto"/>
        <w:ind w:firstLine="0"/>
        <w:jc w:val="both"/>
      </w:pPr>
      <w:r>
        <w:rPr>
          <w:b w:val="0"/>
          <w:sz w:val="24"/>
        </w:rPr>
        <w:t>Источник: составлено автором по [4; 5; 6; 8].</w:t>
      </w:r>
    </w:p>
    <w:p>
      <w:pPr>
        <w:spacing w:after="0" w:before="0" w:line="240" w:lineRule="auto"/>
        <w:ind w:firstLine="0"/>
      </w:pPr>
    </w:p>
    <w:p>
      <w:pPr>
        <w:spacing w:after="0" w:before="0"/>
        <w:ind w:firstLine="709"/>
        <w:jc w:val="both"/>
      </w:pPr>
      <w:r>
        <w:rPr>
          <w:b w:val="0"/>
        </w:rPr>
        <w:t>Какой из видов характерен для современной России? При годовом росте цен 5–10% речь идёт об умеренной, открытой и в значительной мере ожидаемой инфляции. При этом её источники смешанные: часть давления идёт от спроса, подогретого кредитом и бюджетом, часть — от издержек и курса. Такой диагноз заставляет регулятора сочетать разные инструменты и действовать осторожно.</w:t>
      </w:r>
    </w:p>
    <w:p>
      <w:pPr>
        <w:spacing w:after="0" w:before="0"/>
        <w:ind w:firstLine="709"/>
        <w:jc w:val="both"/>
      </w:pPr>
      <w:r>
        <w:rPr>
          <w:b w:val="0"/>
        </w:rPr>
        <w:t>Особый и самый неприятный случай — стагфляция, то есть сочетание высокой инфляции с застоем производства и ростом безработицы. Классическим примером служат США и Западная Европа 1970-х годов, когда нефтяные шоки резко подняли издержки. Стагфляция ставит регулятора перед тяжёлым выбором: смягчение политики ради поддержки экономики подстёгивает цены, а ужесточение углубляет спад. Именно опыт 1970-х подорвал веру в простую кривую Филлипса, согласно которой общество может «купить» низкую безработицу ценой чуть более высокой инфляции, и подготовил переход многих стран к инфляционному таргетированию [7; 8].</w:t>
      </w:r>
    </w:p>
    <w:p>
      <w:pPr>
        <w:spacing w:after="0" w:before="0"/>
        <w:ind w:firstLine="709"/>
        <w:jc w:val="both"/>
      </w:pPr>
      <w:r>
        <w:rPr>
          <w:b w:val="0"/>
        </w:rPr>
        <w:t>У классификации есть и социальное измерение. Умеренная инфляция для экономиста — норма, а для получателя фиксированной стипендии в несколько тысяч рублей даже 6% в год ощутимы. Поэтому дискуссия о допустимом уровне роста цен всегда выходит за рамки чисто технических расчётов и касается справедливости распределения доходов.</w:t>
      </w:r>
    </w:p>
    <w:p>
      <w:pPr>
        <w:spacing w:after="120" w:before="240"/>
        <w:ind w:firstLine="709"/>
        <w:jc w:val="both"/>
      </w:pPr>
      <w:r>
        <w:rPr>
          <w:b/>
        </w:rPr>
        <w:t>2.2 Денежно-кредитная политика Банка России в 2024–2026 годах</w:t>
      </w:r>
    </w:p>
    <w:p>
      <w:pPr>
        <w:spacing w:after="0" w:before="0"/>
        <w:ind w:firstLine="709"/>
        <w:jc w:val="both"/>
      </w:pPr>
      <w:r>
        <w:rPr>
          <w:b w:val="0"/>
        </w:rPr>
        <w:t>Методы регулирования инфляции принято делить на денежно-кредитные, бюджетно-налоговые и административные. К последним относится прямой контроль цен, который в рыночной экономике применяется редко и обычно ведёт к дефициту. Бюджетно-налоговые меры включают сокращение дефицита бюджета и сдерживание государственных расходов. Главную роль в современной России, как и в большинстве развитых стран, отводят денежно-кредитной политике центрального банка [5].</w:t>
      </w:r>
    </w:p>
    <w:p>
      <w:pPr>
        <w:spacing w:after="0" w:before="0"/>
        <w:ind w:firstLine="709"/>
        <w:jc w:val="both"/>
      </w:pPr>
      <w:r>
        <w:rPr>
          <w:b w:val="0"/>
        </w:rPr>
        <w:t>Правовую основу этой политики задаёт Федеральный закон «О Центральном банке Российской Федерации (Банке России)», который называет одной из целей деятельности регулятора защиту и обеспечение устойчивости рубля [1]. С 2015 года Банк России проводит политику инфляционного таргетирования. Её суть в том, что регулятор публично объявляет целевой уровень инфляции, а затем подбирает уровень ключевой ставки так, чтобы удерживать рост цен вблизи этой цели. Цель установлена на уровне около 4% в год и имеет постоянный характер. Подобный режим, по данным самого Банка России, используют 47 стран и объединений [2].</w:t>
      </w:r>
    </w:p>
    <w:p>
      <w:pPr>
        <w:spacing w:after="0" w:before="0"/>
        <w:ind w:firstLine="709"/>
        <w:jc w:val="both"/>
      </w:pPr>
      <w:r>
        <w:rPr>
          <w:b w:val="0"/>
        </w:rPr>
        <w:t>Как работает ключевая ставка (рисунок 3)? Это ставка, по которой центральный банк предоставляет банкам ликвидность и принимает от них средства. Её изменение передаётся на ставки межбанковского рынка, затем на ставки по кредитам и депозитам, на курс рубля и цены финансовых активов. Когда кредит дорожает, а вклады становятся выгоднее, граждане и компании меньше тратят и больше сберегают, спрос охлаждается, и давление на цены ослабевает. Полностью этот трансмиссионный механизм срабатывает за три–шесть кварталов [2].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0530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lyaciya-fig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053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3 – Трансмиссионный механизм денежно-кредитной политики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составлено автором по [2].</w:t>
      </w:r>
    </w:p>
    <w:p>
      <w:pPr>
        <w:spacing w:after="0" w:before="0"/>
        <w:ind w:firstLine="709"/>
        <w:jc w:val="both"/>
      </w:pPr>
      <w:r>
        <w:rPr>
          <w:b w:val="0"/>
        </w:rPr>
        <w:t>Почему спрос так чувствителен к ставке, видно на простом расчёте. Потребительский кредит в 500 000 рублей на год под 25% годовых при погашении в конце срока обойдётся заёмщику в 125 000 рублей процентов, а под 15% — в 75 000. Разница в 50 000 рублей сопоставима с месячным доходом многих семей, и часть из них предпочтёт отложить покупку. Для вкладчика логика обратная: высокая ставка делает ожидание выгодным. Когда так поступают миллионы людей одновременно, совокупный спрос снижается.</w:t>
      </w:r>
    </w:p>
    <w:p>
      <w:pPr>
        <w:spacing w:after="0" w:before="0"/>
        <w:ind w:firstLine="709"/>
        <w:jc w:val="both"/>
      </w:pPr>
      <w:r>
        <w:rPr>
          <w:b w:val="0"/>
        </w:rPr>
        <w:t>В 2024 году инфляция ускорилась до 9,5% [4], и регулятор последовательно ужесточал политику. В конце октября 2024 года ключевая ставка была поднята до 21% годовых и оставалась на этом рекордном уровне до июня 2025 года [2]. Кредит для бизнеса и населения резко подорожал, выдачи потребительских кредитов замедлились, а рублёвые депозиты стали приносить двузначный доход. Ценой стало охлаждение экономики: по базовому сценарию самого Банка России, рост ВВП в 2025 году должен был составить лишь 0,5–1% [2].</w:t>
      </w:r>
    </w:p>
    <w:p>
      <w:pPr>
        <w:spacing w:after="0" w:before="0"/>
        <w:ind w:firstLine="709"/>
        <w:jc w:val="both"/>
      </w:pPr>
      <w:r>
        <w:rPr>
          <w:b w:val="0"/>
        </w:rPr>
        <w:t>Результат проявился в 2025 году. Годовая инфляция снизилась до 5,6%, самого низкого уровня с 2020 года [4]. Это позволило перейти к смягчению. С июня по октябрь 2025 года ставка была снижена в общей сложности на 4,5 процентного пункта, до 16,5% [2], а в 2026 году снижение продолжилось небольшими шагами. На заседании 11 сентября 2026 года Совет директоров сохранил ставку на уровне 14% годовых [3].</w:t>
      </w:r>
    </w:p>
    <w:p>
      <w:pPr>
        <w:spacing w:after="0" w:before="0"/>
        <w:ind w:firstLine="709"/>
        <w:jc w:val="both"/>
      </w:pPr>
      <w:r>
        <w:rPr>
          <w:b w:val="0"/>
        </w:rPr>
        <w:t>Почему регулятор не снижал ставку быстрее? Пресс-релиз от 11 сентября 2026 года даёт ответ. Годовая инфляция на 7 сентября составляла 6,3%, инфляционные ожидания населения и бизнеса оставались повышенными, а прогноз на 2026 год пришлось поднять до 6–7% [3]. Для сравнения: в октябре 2025 года базовый сценарий предполагал, что инфляция в 2026 году составит 4–5% [2]. Расхождение объясняется во многом повышением НДС и ожиданиями, которые оно разогнало. Возвращение к цели Банк России теперь ожидает в 2027 году [3].</w:t>
      </w:r>
    </w:p>
    <w:p>
      <w:pPr>
        <w:spacing w:after="0" w:before="0"/>
        <w:ind w:firstLine="709"/>
        <w:jc w:val="both"/>
      </w:pPr>
      <w:r>
        <w:rPr>
          <w:b w:val="0"/>
        </w:rPr>
        <w:t>Опыт этих лет показывает сильные и слабые стороны таргетирования. Высокая ставка действительно сбила инфляцию с почти десятипроцентного уровня, причём быстрее, чем предсказывали многие критики. Но она же затормозила инвестиции и сделала заёмные деньги недоступными для значительной части малого бизнеса. Дробышевский и соавторы предлагают дополнять ставку другими мерами — ограничением роста потребительских и автокредитов, повышением резервных требований к банкам, замедлением индексации регулируемых цен [9]. Иначе говоря, одна ключевая ставка не может нести всю нагрузку.</w:t>
      </w:r>
    </w:p>
    <w:p>
      <w:pPr>
        <w:spacing w:after="0" w:before="0"/>
        <w:ind w:firstLine="709"/>
        <w:jc w:val="both"/>
      </w:pPr>
      <w:r>
        <w:rPr>
          <w:b w:val="0"/>
        </w:rPr>
        <w:t>Бюджетная политика тоже влияет на цены, хотя и не так заметно. Бюджетное правило, по которому часть нефтегазовых доходов при высоких ценах на нефть откладывается в ФНБ, сглаживает влияние сырьевой конъюнктуры на денежное предложение. Обратная операция, расходование фонда, работает как дополнительная денежная эмиссия, если центральный банк её не стерилизует [9]. Поэтому решения Минфина о дефиците бюджета Банк России учитывает в прогнозе наравне с данными о кредите и зарплатах.</w:t>
      </w:r>
    </w:p>
    <w:p>
      <w:pPr>
        <w:spacing w:after="0" w:before="0"/>
        <w:ind w:firstLine="709"/>
        <w:jc w:val="both"/>
      </w:pPr>
      <w:r>
        <w:rPr>
          <w:b w:val="0"/>
        </w:rPr>
        <w:t>Часть таких мер Банк России уже применяет в рамках макропруденциальной политики: для банков вводились надбавки к коэффициентам риска и лимиты по необеспеченным потребительским кредитам заёмщикам с высокой долговой нагрузкой. Формально эти инструменты нацелены на финансовую стабильность, однако на практике они помогают охладить кредитный спрос и тем самым дополняют действие ставки [5].</w:t>
      </w:r>
    </w:p>
    <w:p>
      <w:pPr>
        <w:spacing w:after="0" w:before="0"/>
        <w:ind w:firstLine="709"/>
        <w:jc w:val="both"/>
      </w:pPr>
      <w:r>
        <w:rPr>
          <w:b w:val="0"/>
        </w:rPr>
        <w:t>Немаловажна и коммуникация. Банк России публикует прогнозную траекторию ставки, объясняет свои решения в пресс-релизах и заявлениях председателя, раз в год представляет Основные направления денежно-кредитной политики с несколькими сценариями развития экономики [2]. Предсказуемость регулятора помогает якорить ожидания, а значит, уменьшает ту самую инфляцию, которая подпитывается страхом перед будущим ростом цен. Эффективность этого канала прямо зависит от доверия: если люди не верят обещаниям, никакие пресс-релизы не помогут.</w:t>
      </w:r>
      <w:r>
        <w:br w:type="page"/>
      </w:r>
    </w:p>
    <w:p>
      <w:pPr>
        <w:spacing w:after="240" w:before="0"/>
        <w:ind w:firstLine="709"/>
        <w:jc w:val="both"/>
      </w:pPr>
      <w:r>
        <w:rPr>
          <w:b/>
        </w:rPr>
        <w:t>3. Инфляция в России в 2015–2026 годах: динамика и последствия</w:t>
      </w:r>
    </w:p>
    <w:p>
      <w:pPr>
        <w:spacing w:after="0" w:before="0"/>
        <w:ind w:firstLine="709"/>
        <w:jc w:val="both"/>
      </w:pPr>
      <w:r>
        <w:rPr>
          <w:b w:val="0"/>
        </w:rPr>
        <w:t>Теоретические положения первых двух глав полезно проверить на фактах. Ниже рассмотрена динамика инфляции и ключевой ставки за последние десять лет, а затем на простых расчётах показано, что означает рост цен для зарплаты, вклада и кредита конкретного человека.</w:t>
      </w:r>
    </w:p>
    <w:p>
      <w:pPr>
        <w:spacing w:after="120" w:before="240"/>
        <w:ind w:firstLine="709"/>
        <w:jc w:val="both"/>
      </w:pPr>
      <w:r>
        <w:rPr>
          <w:b/>
        </w:rPr>
        <w:t>3.1 Динамика инфляции и решения по ключевой ставке</w:t>
      </w:r>
    </w:p>
    <w:p>
      <w:pPr>
        <w:spacing w:after="0" w:before="0"/>
        <w:ind w:firstLine="709"/>
        <w:jc w:val="both"/>
      </w:pPr>
      <w:r>
        <w:rPr>
          <w:b w:val="0"/>
        </w:rPr>
        <w:t>Официальная база данных Банка России, составленная по данным Росстата, позволяет проследить, как менялась инфляция с перехода к таргетированию [11]. В 2015 году, после резкого ослабления рубля в конце 2014 года, рост цен достиг 12,9%. Затем он быстро замедлился: 5,4% в 2016 году и 2,5% в 2017-м, что стало минимумом для современной России. До 2020 года инфляция держалась около цели, а ставка постепенно снижалась и к декабрю 2020 года опустилась до 4,25% годовых. Обе линии показаны на рисунке 4.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0121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lyaciya-fig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12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4 – Годовая инфляция и ключевая ставка Банка России на конец года, 2015–2025 годы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[11].</w:t>
      </w:r>
    </w:p>
    <w:p>
      <w:pPr>
        <w:spacing w:after="0" w:before="0"/>
        <w:ind w:firstLine="709"/>
        <w:jc w:val="both"/>
      </w:pPr>
      <w:r>
        <w:rPr>
          <w:b w:val="0"/>
        </w:rPr>
        <w:t>На графике видны две закономерности. Первая — запаздывание. Ставка отвечает на ускорение цен, а результат её повышения проявляется через несколько кварталов. В 2021 году инфляция выросла до 8,4%, и к концу года ставка поднялась до 8,5%. В 2022 году, на фоне санкционного шока, цены выросли на 11,9%, но к декабрю ставку уже снизили до 7,5%: пик годовой инфляции пришёлся на весну, и к осени давление ослабло. Вторая закономерность — асимметрия. Чтобы переломить всплеск 2023–2024 годов, ставку пришлось поднять до 21%, намного выше самой инфляции.</w:t>
      </w:r>
    </w:p>
    <w:p>
      <w:pPr>
        <w:spacing w:after="0" w:before="0"/>
        <w:ind w:firstLine="709"/>
        <w:jc w:val="both"/>
      </w:pPr>
      <w:r>
        <w:rPr>
          <w:b w:val="0"/>
        </w:rPr>
        <w:t>Разницу между номинальной ставкой и инфляцией упрощённо называют реальной ставкой. В декабре 2024 года она составляла около 11,5 п. п. (21% против 9,5%), в сентябре 2026 года — больше 7,5 п. п. (14% против 6,35%) [11]. В декабре 2020 года картина была противоположной: ставка 4,25% оказалась ниже инфляции 4,9%, и реальная ставка ушла в минус. Дешёвые деньги того периода во многом объясняют кредитный бум, на который указывают Дробышевский и соавторы [9].</w:t>
      </w:r>
    </w:p>
    <w:p>
      <w:pPr>
        <w:spacing w:after="0" w:before="0"/>
        <w:ind w:firstLine="709"/>
        <w:jc w:val="both"/>
      </w:pPr>
      <w:r>
        <w:rPr>
          <w:b w:val="0"/>
        </w:rPr>
        <w:t>Снижение ставки после пика шло постепенно (таблица 2). Первые шаги летом 2025 года были крупными, по 1–2 п. п., затем регулятор перешёл к шагам по 0,5 п. п., а летом 2026 года — по 0,25 п. п. Данные взяты из официальной базы Банка России, где ставка указана по дням её действия [10]; решение Совета директоров, как правило, принимается в пятницу и вступает в силу со следующего рабочего дня.</w:t>
      </w:r>
    </w:p>
    <w:p>
      <w:pPr>
        <w:keepNext/>
        <w:spacing w:after="0" w:before="120"/>
        <w:ind w:firstLine="0"/>
        <w:jc w:val="left"/>
      </w:pPr>
      <w:r>
        <w:rPr>
          <w:b w:val="0"/>
        </w:rPr>
        <w:t>Таблица 2 – Снижение ключевой ставки Банка России в 2025–2026 годах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118"/>
        <w:gridCol w:w="3118"/>
        <w:gridCol w:w="3118"/>
      </w:tblGrid>
      <w:tr>
        <w:trPr>
          <w:tblHeader w:val="true"/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Ставка действует с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Ключевая ставка, % годовых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Изменение, п. п.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09.06.2025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20,00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−1,00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28.07.2025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18,00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−2,00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15.09.2025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17,00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−1,00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27.10.2025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16,50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−0,50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22.12.2025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16,00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−0,50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16.02.2026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15,50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−0,50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23.03.2026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15,00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−0,50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27.04.2026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14,50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−0,50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22.06.2026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14,25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−0,25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27.07.2026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14,00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−0,25</w:t>
            </w:r>
          </w:p>
        </w:tc>
      </w:tr>
    </w:tbl>
    <w:p>
      <w:pPr>
        <w:spacing w:after="0" w:before="80" w:line="240" w:lineRule="auto"/>
        <w:ind w:firstLine="0"/>
        <w:jc w:val="both"/>
      </w:pPr>
      <w:r>
        <w:rPr>
          <w:b w:val="0"/>
          <w:sz w:val="24"/>
        </w:rPr>
        <w:t>Источник: составлено автором по [10].</w:t>
      </w:r>
    </w:p>
    <w:p>
      <w:pPr>
        <w:spacing w:after="0" w:before="0" w:line="240" w:lineRule="auto"/>
        <w:ind w:firstLine="0"/>
      </w:pPr>
    </w:p>
    <w:p>
      <w:pPr>
        <w:spacing w:after="0" w:before="0"/>
        <w:ind w:firstLine="709"/>
        <w:jc w:val="both"/>
      </w:pPr>
      <w:r>
        <w:rPr>
          <w:b w:val="0"/>
        </w:rPr>
        <w:t>Почему шаги становились всё мельче, объясняет поведение цен в 2026 году (рисунок 5). В декабре 2025 года годовая инфляция опустилась до 5,59%, но в январе 2026 года, после повышения НДС, поднялась до 6,00%. Весной она снова снижалась и в мае дошла до 5,31%, однако летом вернулась выше 6%, а в сентябре составила 6,35% [11].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50502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lyaciya-fig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505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5 – Годовая инфляция в России по месяцам, декабрь 2025 – сентябрь 2026 года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[11].</w:t>
      </w:r>
    </w:p>
    <w:p>
      <w:pPr>
        <w:spacing w:after="0" w:before="0"/>
        <w:ind w:firstLine="709"/>
        <w:jc w:val="both"/>
      </w:pPr>
      <w:r>
        <w:rPr>
          <w:b w:val="0"/>
        </w:rPr>
        <w:t>На этом примере хорошо виден механизм, описанный во второй главе. Разовое повышение налога должно было дать скачок цен только в начале года. Повышенные ожидания растянули его эффект, и прогноз на 2026 год пришлось поднять с 4–5% до 6–7% [2; 3]. На заседании 11 сентября 2026 года Совет директоров оставил ставку на уровне 14% [3]. Снижать её при ускоряющейся инфляции значило бы рисковать доверием к цели, на завоевание которого ушло десять лет.</w:t>
      </w:r>
    </w:p>
    <w:p>
      <w:pPr>
        <w:spacing w:after="120" w:before="240"/>
        <w:ind w:firstLine="709"/>
        <w:jc w:val="both"/>
      </w:pPr>
      <w:r>
        <w:rPr>
          <w:b/>
        </w:rPr>
        <w:t>3.2 Влияние инфляции на доходы и сбережения: расчётные примеры</w:t>
      </w:r>
    </w:p>
    <w:p>
      <w:pPr>
        <w:spacing w:after="0" w:before="0"/>
        <w:ind w:firstLine="709"/>
        <w:jc w:val="both"/>
      </w:pPr>
      <w:r>
        <w:rPr>
          <w:b w:val="0"/>
        </w:rPr>
        <w:t>Для человека инфляция — это прежде всего вопрос о том, что можно купить на зарплату, пенсию или накопления. Ниже разобраны три условных примера. Темпы роста цен в них взяты из официальной статистики, а суммы и ставки выбраны для наглядности.</w:t>
      </w:r>
    </w:p>
    <w:p>
      <w:pPr>
        <w:spacing w:after="0" w:before="0"/>
        <w:ind w:firstLine="709"/>
        <w:jc w:val="both"/>
      </w:pPr>
      <w:r>
        <w:rPr>
          <w:b w:val="0"/>
        </w:rPr>
        <w:t>Пример 1 касается зарплаты. Допустим, в 2024 году работнику проиндексировали оклад с 60 000 до 64 800 рублей, то есть на 8%. Инфляция за год составила 9,5% [4]. В ценах начала года новая зарплата равна 64 800 / 1,095 ≈ 59 178 рублей. Прибавка есть, а покупательная способность дохода упала примерно на 1,4%. Если бы та же индексация пришлась на 2025 год с инфляцией 5,6%, реальная зарплата выросла бы до 64 800 / 1,056 ≈ 61 364 рублей, или на 2,3%.</w:t>
      </w:r>
    </w:p>
    <w:p>
      <w:pPr>
        <w:spacing w:after="0" w:before="0"/>
        <w:ind w:firstLine="709"/>
        <w:jc w:val="both"/>
      </w:pPr>
      <w:r>
        <w:rPr>
          <w:b w:val="0"/>
        </w:rPr>
        <w:t>Пример 2 посвящён сбережениям (таблица 3). Сравним два способа хранить 100 000 рублей в течение 2024 года: наличными дома и на вкладе под 18% годовых с выплатой процентов в конце срока. Налог на процентный доход для простоты не учитываем.</w:t>
      </w:r>
    </w:p>
    <w:p>
      <w:pPr>
        <w:keepNext/>
        <w:spacing w:after="0" w:before="120"/>
        <w:ind w:firstLine="0"/>
        <w:jc w:val="left"/>
      </w:pPr>
      <w:r>
        <w:rPr>
          <w:b w:val="0"/>
        </w:rPr>
        <w:t>Таблица 3 – Реальная стоимость 100 000 рублей через год при инфляции 9,5%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118"/>
        <w:gridCol w:w="3118"/>
        <w:gridCol w:w="3118"/>
      </w:tblGrid>
      <w:tr>
        <w:trPr>
          <w:tblHeader w:val="true"/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Показатель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Наличные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Вклад под 18%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Сумма на начало года, руб.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100 000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100 000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Сумма на конец года, руб.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100 000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118 000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В ценах начала года, руб.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91 324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107 763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Реальный результат, руб.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−8 676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+7 763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Реальная доходность, %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−8,7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+7,8</w:t>
            </w:r>
          </w:p>
        </w:tc>
      </w:tr>
    </w:tbl>
    <w:p>
      <w:pPr>
        <w:spacing w:after="0" w:before="80" w:line="240" w:lineRule="auto"/>
        <w:ind w:firstLine="0"/>
        <w:jc w:val="both"/>
      </w:pPr>
      <w:r>
        <w:rPr>
          <w:b w:val="0"/>
          <w:sz w:val="24"/>
        </w:rPr>
        <w:t>Источник: расчёт автора; инфляция за 2024 год – по [4].</w:t>
      </w:r>
    </w:p>
    <w:p>
      <w:pPr>
        <w:spacing w:after="0" w:before="0" w:line="240" w:lineRule="auto"/>
        <w:ind w:firstLine="0"/>
      </w:pPr>
    </w:p>
    <w:p>
      <w:pPr>
        <w:spacing w:after="0" w:before="0"/>
        <w:ind w:firstLine="709"/>
        <w:jc w:val="both"/>
      </w:pPr>
      <w:r>
        <w:rPr>
          <w:b w:val="0"/>
        </w:rPr>
        <w:t>Расчёт иллюстрирует уравнение Фишера: реальная доходность примерно равна номинальной ставке за вычетом инфляции. Упрощённая формула даёт 18 − 9,5 = 8,5%, точная — (1,18 / 1,095 − 1) × 100 ≈ 7,8%. При низкой инфляции разница почти незаметна, при высокой она достигает почти процентного пункта, поэтому для точных расчётов лучше делить, а не вычитать [8].</w:t>
      </w:r>
    </w:p>
    <w:p>
      <w:pPr>
        <w:spacing w:after="0" w:before="0"/>
        <w:ind w:firstLine="709"/>
        <w:jc w:val="both"/>
      </w:pPr>
      <w:r>
        <w:rPr>
          <w:b w:val="0"/>
        </w:rPr>
        <w:t>Пример 3 показывает обратную сторону — положение заёмщика. Пусть человек выплачивает кредит с фиксированной ставкой по 20 000 рублей в месяц. Платёж не меняется, а цены растут. При инфляции 9,5% через год он «весит» в ценах начала периода около 18 265 рублей, через два года — около 16 680. Если зарплата заёмщика индексируется вслед за ценами, долговая нагрузка для него ощутимо снижается. Так неожиданная инфляция и перераспределяет богатство от кредиторов к должникам, о чём говорилось в первой главе.</w:t>
      </w:r>
    </w:p>
    <w:p>
      <w:pPr>
        <w:spacing w:after="0" w:before="0"/>
        <w:ind w:firstLine="709"/>
        <w:jc w:val="both"/>
      </w:pPr>
      <w:r>
        <w:rPr>
          <w:b w:val="0"/>
        </w:rPr>
        <w:t>Из этих расчётов вытекают несколько практических правил. Индексацию дохода нужно сравнивать с инфляцией, а не с прошлогодней суммой. Деньги, лежащие без дохода, при росте цен на 5–10% в год теряют такую же долю стоимости. Кредит с фиксированной ставкой выгоден, когда инфляция оказывается выше ожидаемой, но именно в такие периоды банки и регулятор поднимают ставки, поэтому «обыграть» рынок удаётся редко.</w:t>
      </w:r>
    </w:p>
    <w:p>
      <w:pPr>
        <w:spacing w:after="0" w:before="0"/>
        <w:ind w:firstLine="709"/>
        <w:jc w:val="both"/>
      </w:pPr>
      <w:r>
        <w:rPr>
          <w:b w:val="0"/>
        </w:rPr>
        <w:t>Последний вывод прямо связан с решениями Банка России. Ставки по вкладам и кредитам следуют за ключевой, так что дата заседания и тон пресс-релиза интересны не одним аналитикам. Когда регулятор, как в сентябре 2026 года, сохраняет ставку и повышает прогноз инфляции [3], это сигнал: высокие ставки по вкладам продержатся дольше, а быстрого удешевления кредита ждать не стоит.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ЗАКЛЮЧЕНИЕ</w:t>
      </w:r>
    </w:p>
    <w:p>
      <w:pPr>
        <w:spacing w:after="0" w:before="0"/>
        <w:ind w:firstLine="709"/>
        <w:jc w:val="both"/>
      </w:pPr>
      <w:r>
        <w:rPr>
          <w:b w:val="0"/>
        </w:rPr>
        <w:t>В ходе работы были решены поставленные задачи. Инфляция представляет собой устойчивый рост общего уровня цен, который в России измеряется прежде всего индексом потребительских цен Росстата. За среднегодовой цифрой скрывается неоднородная картина: в 2025 году услуги подорожали на 9,3%, а непродовольственные товары — лишь на 3%.</w:t>
      </w:r>
    </w:p>
    <w:p>
      <w:pPr>
        <w:spacing w:after="0" w:before="0"/>
        <w:ind w:firstLine="709"/>
        <w:jc w:val="both"/>
      </w:pPr>
      <w:r>
        <w:rPr>
          <w:b w:val="0"/>
        </w:rPr>
        <w:t>Причины российской инфляции смешанные. Одни исследователи делают упор на монопольные издержки и регулируемые тарифы, другие показывают, что ускорение роста цен в 2020–2024 годах было связано с увеличением денежного предложения за счёт бюджетных расходов и кредитного бума. Заметную роль играют также курс рубля, налоговые решения вроде повышения НДС в 2026 году и инфляционные ожидания.</w:t>
      </w:r>
    </w:p>
    <w:p>
      <w:pPr>
        <w:spacing w:after="0" w:before="0"/>
        <w:ind w:firstLine="709"/>
        <w:jc w:val="both"/>
      </w:pPr>
      <w:r>
        <w:rPr>
          <w:b w:val="0"/>
        </w:rPr>
        <w:t>По темпу современная российская инфляция относится к умеренной, по характеру — к открытой и во многом ожидаемой. Главным инструментом её регулирования служит ключевая ставка Банка России в рамках инфляционного таргетирования с целью около 4%. Повышение ставки до 21% в 2024 году позволило снизить инфляцию до 5,6% в 2025 году, но цена этого успеха — замедление экономики. Устойчивое достижение цели, судя по опыту последних лет, требует согласованной работы денежных и бюджетных властей.</w:t>
      </w:r>
    </w:p>
    <w:p>
      <w:pPr>
        <w:spacing w:after="0" w:before="0"/>
        <w:ind w:firstLine="709"/>
        <w:jc w:val="both"/>
      </w:pPr>
      <w:r>
        <w:rPr>
          <w:b w:val="0"/>
        </w:rPr>
        <w:t>Анализ динамики за 2015–2026 годы показал, что наибольших значений инфляция достигала в 2015, 2022 и 2024 годах — 12,9%, 11,9% и 9,5%. Снижение ключевой ставки после пика в 21% шло осторожно, шагами от 2 до 0,25 п. п., и к концу июля 2026 года ставка опустилась до 14%. В 2026 году инфляция, подогретая повышением НДС и ожиданиями, снова превысила 6%, и регулятор взял паузу.</w:t>
      </w:r>
    </w:p>
    <w:p>
      <w:pPr>
        <w:spacing w:after="0" w:before="0"/>
        <w:ind w:firstLine="709"/>
        <w:jc w:val="both"/>
      </w:pPr>
      <w:r>
        <w:rPr>
          <w:b w:val="0"/>
        </w:rPr>
        <w:t>Расчётные примеры перевели эти цифры на язык семейного бюджета. При инфляции 9,5% индексация зарплаты на 8% оборачивается падением реального дохода примерно на 1,4%, наличные сбережения теряют 8,7% стоимости за год, а вклад под 18% приносит в реальном выражении около 7,8%, а не 8,5%, как подсказывает простое вычитание. Отсюда практический вывод для обычного гражданина: разумно следить за решениями Банка России и учитывать их, выбирая между вкладом, кредитом и крупной покупкой.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СПИСОК ИСПОЛЬЗОВАННЫХ ИСТОЧНИКОВ</w:t>
      </w:r>
    </w:p>
    <w:p>
      <w:pPr>
        <w:spacing w:after="0" w:before="0"/>
        <w:ind w:firstLine="709"/>
        <w:jc w:val="both"/>
      </w:pPr>
      <w:r>
        <w:rPr>
          <w:b w:val="0"/>
        </w:rPr>
        <w:t>1. Российская Федерация. Законы. О Центральном банке Российской Федерации (Банке России) : Федеральный закон от 10.07.2002 № 86-ФЗ. – Текст : электронный // КонсультантПлюс : справочная правовая система. – URL: https://www.consultant.ru/document/cons_doc_LAW_66565/ (дата обращения: 22.10.2026).</w:t>
      </w:r>
    </w:p>
    <w:p>
      <w:pPr>
        <w:spacing w:after="0" w:before="0"/>
        <w:ind w:firstLine="709"/>
        <w:jc w:val="both"/>
      </w:pPr>
      <w:r>
        <w:rPr>
          <w:b w:val="0"/>
        </w:rPr>
        <w:t>2. Банк России. Основные направления единой государственной денежно-кредитной политики на 2026 год и период 2027 и 2028 годов. – Москва : Банк России, 2025. – Текст : электронный. – URL: https://www.cbr.ru/about_br/publ/ondkp/on_2026_2028/ (дата обращения: 22.10.2026).</w:t>
      </w:r>
    </w:p>
    <w:p>
      <w:pPr>
        <w:spacing w:after="0" w:before="0"/>
        <w:ind w:firstLine="709"/>
        <w:jc w:val="both"/>
      </w:pPr>
      <w:r>
        <w:rPr>
          <w:b w:val="0"/>
        </w:rPr>
        <w:t>3. Банк России принял решение сохранить ключевую ставку на уровне 14,00% годовых : пресс-релиз от 11.09.2026. – Текст : электронный // Банк России : официальный сайт. – URL: https://www.cbr.ru/press/keypr/ (дата обращения: 22.10.2026).</w:t>
      </w:r>
    </w:p>
    <w:p>
      <w:pPr>
        <w:spacing w:after="0" w:before="0"/>
        <w:ind w:firstLine="709"/>
        <w:jc w:val="both"/>
      </w:pPr>
      <w:r>
        <w:rPr>
          <w:b w:val="0"/>
        </w:rPr>
        <w:t>4. Инфляция за 2025 год стала самой низкой с 2020 года. – Текст : электронный // Банк России : официальный сайт. – 2026. – 21 января. – URL: https://www.cbr.ru/press/event/?id=28251 (дата обращения: 22.10.2026).</w:t>
      </w:r>
    </w:p>
    <w:p>
      <w:pPr>
        <w:spacing w:after="0" w:before="0"/>
        <w:ind w:firstLine="709"/>
        <w:jc w:val="both"/>
      </w:pPr>
      <w:r>
        <w:rPr>
          <w:b w:val="0"/>
        </w:rPr>
        <w:t>5. Деньги, кредит, банки : учебник и практикум для вузов / под редакцией В. Ю. Катасонова, В. П. Биткова. – 3-е изд., перераб. и доп. – Москва : Юрайт, 2025. – 519 с. – (Высшее образование). – ISBN 978-5-534-16120-5.</w:t>
      </w:r>
    </w:p>
    <w:p>
      <w:pPr>
        <w:spacing w:after="0" w:before="0"/>
        <w:ind w:firstLine="709"/>
        <w:jc w:val="both"/>
      </w:pPr>
      <w:r>
        <w:rPr>
          <w:b w:val="0"/>
        </w:rPr>
        <w:t>6. Дмитриева, О. Инфляция спроса и инфляция издержек: причины формирования и формы распространения / О. Дмитриева, Д. Ушаков // Вопросы экономики. – 2011. – № 3. – С. 40–52. – DOI 10.32609/0042-8736-2011-3-40-52.</w:t>
      </w:r>
    </w:p>
    <w:p>
      <w:pPr>
        <w:spacing w:after="0" w:before="0"/>
        <w:ind w:firstLine="709"/>
        <w:jc w:val="both"/>
      </w:pPr>
      <w:r>
        <w:rPr>
          <w:b w:val="0"/>
        </w:rPr>
        <w:t>7. Зубарев, А. В. Кривая Филлипса для открытой экономики: эволюция инфляционных процессов в России / А. В. Зубарев, А. М. Городнов // Вопросы экономики. – 2023. – № 12. – С. 103–119. – DOI 10.32609/0042-8736-2023-12-103-119.</w:t>
      </w:r>
    </w:p>
    <w:p>
      <w:pPr>
        <w:spacing w:after="0" w:before="0"/>
        <w:ind w:firstLine="709"/>
        <w:jc w:val="both"/>
      </w:pPr>
      <w:r>
        <w:rPr>
          <w:b w:val="0"/>
        </w:rPr>
        <w:t>8. Макроэкономика : учебник для вузов / под редакцией С. Ф. Серегиной. – 4-е изд., испр. и доп. – Москва : Юрайт, 2025. – 477 с. – (Высшее образование). – ISBN 978-5-534-13156-7.</w:t>
      </w:r>
    </w:p>
    <w:p>
      <w:pPr>
        <w:spacing w:after="0" w:before="0"/>
        <w:ind w:firstLine="709"/>
        <w:jc w:val="both"/>
      </w:pPr>
      <w:r>
        <w:rPr>
          <w:b w:val="0"/>
        </w:rPr>
        <w:t>9. Причины повышенной инфляции в российской экономике / С. М. Дробышевский, Ю. Н. Перевышин, С. Г. Синельников-Мурылев, П. В. Трунин // Вопросы экономики. – 2025. – № 1. – С. 5–31. – DOI 10.32609/0042-8736-2025-1-5-31.</w:t>
      </w:r>
    </w:p>
    <w:p>
      <w:pPr>
        <w:spacing w:after="0" w:before="0"/>
        <w:ind w:firstLine="709"/>
        <w:jc w:val="both"/>
      </w:pPr>
      <w:r>
        <w:rPr>
          <w:b w:val="0"/>
        </w:rPr>
        <w:t>10. Ключевая ставка Банка России. – Текст : электронный // Банк России : официальный сайт. – URL: https://www.cbr.ru/hd_base/KeyRate/ (дата обращения: 22.10.2026).</w:t>
      </w:r>
    </w:p>
    <w:p>
      <w:pPr>
        <w:spacing w:after="0" w:before="0"/>
        <w:ind w:firstLine="709"/>
        <w:jc w:val="both"/>
      </w:pPr>
      <w:r>
        <w:rPr>
          <w:b w:val="0"/>
        </w:rPr>
        <w:t>11. Инфляция и ключевая ставка Банка России. – Текст : электронный // Банк России : официальный сайт. – URL: https://www.cbr.ru/hd_base/infl/ (дата обращения: 22.10.2026).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 w:before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Инфляция в России: причины, виды и методы регулирования</dc:title>
  <dc:subject/>
  <dc:creator>Универ 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